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numPr>
          <w:ilvl w:val="0"/>
          <w:numId w:val="0"/>
        </w:numPr>
        <w:spacing w:after="163"/>
        <w:ind w:left="425" w:hanging="425"/>
        <w:jc w:val="both"/>
        <w:rPr>
          <w:rFonts w:hint="eastAsia"/>
          <w:w w:val="120"/>
        </w:rPr>
      </w:pPr>
    </w:p>
    <w:p>
      <w:pPr>
        <w:ind w:firstLine="1721"/>
        <w:jc w:val="both"/>
        <w:rPr>
          <w:rFonts w:hint="eastAsia" w:eastAsia="黑体"/>
          <w:w w:val="120"/>
          <w:sz w:val="72"/>
          <w:szCs w:val="72"/>
          <w:lang w:val="en-US" w:eastAsia="zh-CN"/>
        </w:rPr>
      </w:pPr>
      <w:r>
        <w:rPr>
          <w:rFonts w:hint="eastAsia" w:eastAsia="黑体"/>
          <w:w w:val="120"/>
          <w:sz w:val="72"/>
          <w:szCs w:val="72"/>
          <w:lang w:val="en-US" w:eastAsia="zh-CN"/>
        </w:rPr>
        <w:t>金华科技大脑</w:t>
      </w:r>
    </w:p>
    <w:p>
      <w:pPr>
        <w:ind w:firstLine="1721"/>
        <w:jc w:val="both"/>
        <w:rPr>
          <w:rFonts w:hint="default" w:eastAsia="黑体"/>
          <w:w w:val="120"/>
          <w:sz w:val="72"/>
          <w:szCs w:val="72"/>
          <w:lang w:val="en-US" w:eastAsia="zh-CN"/>
        </w:rPr>
      </w:pPr>
      <w:r>
        <w:rPr>
          <w:rFonts w:hint="eastAsia" w:eastAsia="黑体"/>
          <w:w w:val="120"/>
          <w:sz w:val="72"/>
          <w:szCs w:val="72"/>
          <w:lang w:val="en-US" w:eastAsia="zh-CN"/>
        </w:rPr>
        <w:t>(县市区科技局)</w:t>
      </w:r>
    </w:p>
    <w:p>
      <w:pPr>
        <w:jc w:val="both"/>
        <w:rPr>
          <w:rFonts w:hint="default" w:eastAsia="黑体"/>
          <w:w w:val="120"/>
          <w:sz w:val="72"/>
          <w:szCs w:val="72"/>
          <w:lang w:val="en-US" w:eastAsia="zh-CN"/>
        </w:rPr>
      </w:pPr>
    </w:p>
    <w:p>
      <w:pPr>
        <w:ind w:firstLine="198" w:firstLineChars="23"/>
        <w:jc w:val="center"/>
        <w:rPr>
          <w:rFonts w:hint="eastAsia" w:eastAsia="黑体"/>
          <w:w w:val="120"/>
          <w:sz w:val="72"/>
          <w:szCs w:val="72"/>
        </w:rPr>
      </w:pPr>
      <w:r>
        <w:rPr>
          <w:rFonts w:hint="eastAsia" w:eastAsia="黑体"/>
          <w:w w:val="120"/>
          <w:sz w:val="72"/>
          <w:szCs w:val="72"/>
        </w:rPr>
        <w:t>操</w:t>
      </w:r>
    </w:p>
    <w:p>
      <w:pPr>
        <w:ind w:firstLine="198" w:firstLineChars="23"/>
        <w:jc w:val="center"/>
        <w:rPr>
          <w:rFonts w:hint="eastAsia" w:eastAsia="黑体"/>
          <w:w w:val="120"/>
          <w:sz w:val="72"/>
          <w:szCs w:val="72"/>
        </w:rPr>
      </w:pPr>
      <w:r>
        <w:rPr>
          <w:rFonts w:hint="eastAsia" w:eastAsia="黑体"/>
          <w:w w:val="120"/>
          <w:sz w:val="72"/>
          <w:szCs w:val="72"/>
        </w:rPr>
        <w:t>作</w:t>
      </w:r>
    </w:p>
    <w:p>
      <w:pPr>
        <w:ind w:firstLine="198" w:firstLineChars="23"/>
        <w:jc w:val="center"/>
        <w:rPr>
          <w:rFonts w:hint="eastAsia" w:eastAsia="黑体"/>
          <w:w w:val="120"/>
          <w:sz w:val="72"/>
          <w:szCs w:val="72"/>
        </w:rPr>
      </w:pPr>
      <w:r>
        <w:rPr>
          <w:rFonts w:hint="eastAsia" w:eastAsia="黑体"/>
          <w:w w:val="120"/>
          <w:sz w:val="72"/>
          <w:szCs w:val="72"/>
        </w:rPr>
        <w:t>手</w:t>
      </w:r>
    </w:p>
    <w:p>
      <w:pPr>
        <w:ind w:firstLine="198" w:firstLineChars="23"/>
        <w:jc w:val="center"/>
        <w:rPr>
          <w:rFonts w:eastAsia="黑体"/>
          <w:w w:val="120"/>
          <w:sz w:val="72"/>
          <w:szCs w:val="72"/>
        </w:rPr>
      </w:pPr>
      <w:r>
        <w:rPr>
          <w:rFonts w:hint="eastAsia" w:eastAsia="黑体"/>
          <w:w w:val="120"/>
          <w:sz w:val="72"/>
          <w:szCs w:val="72"/>
        </w:rPr>
        <w:t>册</w:t>
      </w:r>
    </w:p>
    <w:p>
      <w:pPr>
        <w:ind w:firstLine="560"/>
        <w:rPr>
          <w:rFonts w:hint="eastAsia"/>
          <w:szCs w:val="7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rFonts w:hint="eastAsia"/>
          <w:szCs w:val="52"/>
        </w:rPr>
      </w:pPr>
    </w:p>
    <w:p>
      <w:pPr>
        <w:ind w:firstLine="560"/>
        <w:rPr>
          <w:szCs w:val="52"/>
        </w:rPr>
      </w:pPr>
    </w:p>
    <w:p>
      <w:pPr>
        <w:ind w:firstLine="64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浙江正联网络科技有限公司</w:t>
      </w:r>
    </w:p>
    <w:p>
      <w:pPr>
        <w:ind w:firstLine="640"/>
        <w:jc w:val="center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eastAsia="黑体"/>
          <w:sz w:val="32"/>
          <w:szCs w:val="32"/>
        </w:rPr>
        <w:t>二</w:t>
      </w:r>
      <w:r>
        <w:rPr>
          <w:rFonts w:hint="eastAsia" w:eastAsia="黑体" w:cs="宋体"/>
          <w:sz w:val="32"/>
          <w:szCs w:val="32"/>
        </w:rPr>
        <w:t>〇</w:t>
      </w:r>
      <w:r>
        <w:rPr>
          <w:rFonts w:eastAsia="黑体"/>
          <w:sz w:val="32"/>
          <w:szCs w:val="32"/>
        </w:rPr>
        <w:t>二</w:t>
      </w:r>
      <w:r>
        <w:rPr>
          <w:rFonts w:hint="eastAsia" w:eastAsia="黑体" w:cs="宋体"/>
          <w:sz w:val="32"/>
          <w:szCs w:val="32"/>
        </w:rPr>
        <w:t>〇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十二</w:t>
      </w:r>
      <w:bookmarkStart w:id="19" w:name="_GoBack"/>
      <w:bookmarkEnd w:id="19"/>
      <w:r>
        <w:rPr>
          <w:rFonts w:eastAsia="黑体"/>
          <w:sz w:val="32"/>
          <w:szCs w:val="32"/>
        </w:rPr>
        <w:t>月</w:t>
      </w:r>
    </w:p>
    <w:sdt>
      <w:sdtPr>
        <w:rPr>
          <w:rFonts w:ascii="宋体" w:hAnsi="宋体" w:eastAsia="宋体" w:cstheme="minorBidi"/>
          <w:b/>
          <w:bCs/>
          <w:kern w:val="2"/>
          <w:sz w:val="21"/>
          <w:szCs w:val="24"/>
          <w:lang w:val="en-US" w:eastAsia="zh-CN" w:bidi="ar-SA"/>
        </w:rPr>
        <w:id w:val="147452565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b/>
              <w:bCs/>
              <w:sz w:val="22"/>
              <w:szCs w:val="22"/>
            </w:rPr>
          </w:pPr>
          <w:r>
            <w:rPr>
              <w:rFonts w:hint="eastAsia" w:ascii="宋体" w:hAnsi="宋体" w:eastAsia="宋体" w:cs="宋体"/>
              <w:b/>
              <w:bCs/>
              <w:sz w:val="22"/>
              <w:szCs w:val="22"/>
            </w:rPr>
            <w:t>目录</w:t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_Toc9662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第一章 系统综述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_Toc9662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2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_Toc22521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第二章 登录系统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_Toc22521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2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_Toc23569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2.1 系统环境要求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_Toc23569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3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_Toc10079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2.2 登录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_Toc10079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3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_Toc1767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第三章 首页功能介绍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_Toc1767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4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_Toc2916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第四章 企业事项管理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_Toc2916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5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_Toc7770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4.1 事项审批汇总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_Toc7770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6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_Toc10021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4.2 项目计划管理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_Toc10021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8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_Toc7919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4.3 百博入企管理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_Toc7919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8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_Toc15231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4.4 众创空间备案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_Toc15231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9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_Toc27321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4.5 大院名校技术中心绩效考核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_Toc27321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9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_Toc23612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4.6 产业化专利申报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_Toc23612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9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_Toc8275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4.7 市科技企业孵化器认定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_Toc8275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9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_Toc1947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4.8 市高新技术研发中心认定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_Toc1947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9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_Toc32456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4.9 工科会签约项目征集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_Toc32456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9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_Toc31521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4.10 企业技术难题和需求征集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_Toc31521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10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_Toc26024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4.11 市产业创新服务综合体认定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_Toc26024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10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_Toc14286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第五章 内部事项管理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_Toc14286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10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22"/>
              <w:szCs w:val="22"/>
            </w:r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HYPERLINK \l _Toc15066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  <w:lang w:val="en-US" w:eastAsia="zh-CN"/>
            </w:rPr>
            <w:t>第六章 系统管理</w:t>
          </w:r>
          <w:r>
            <w:rPr>
              <w:rFonts w:hint="eastAsia" w:ascii="宋体" w:hAnsi="宋体" w:eastAsia="宋体" w:cs="宋体"/>
              <w:sz w:val="22"/>
              <w:szCs w:val="22"/>
            </w:rPr>
            <w:tab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begin"/>
          </w:r>
          <w:r>
            <w:rPr>
              <w:rFonts w:hint="eastAsia" w:ascii="宋体" w:hAnsi="宋体" w:eastAsia="宋体" w:cs="宋体"/>
              <w:sz w:val="22"/>
              <w:szCs w:val="22"/>
            </w:rPr>
            <w:instrText xml:space="preserve"> PAGEREF _Toc15066 </w:instrTex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separate"/>
          </w:r>
          <w:r>
            <w:rPr>
              <w:rFonts w:hint="eastAsia" w:ascii="宋体" w:hAnsi="宋体" w:eastAsia="宋体" w:cs="宋体"/>
              <w:sz w:val="22"/>
              <w:szCs w:val="22"/>
            </w:rPr>
            <w:t>11</w:t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22"/>
              <w:szCs w:val="22"/>
            </w:rPr>
            <w:sectPr>
              <w:pgSz w:w="11906" w:h="16838"/>
              <w:pgMar w:top="1440" w:right="1800" w:bottom="1440" w:left="1800" w:header="851" w:footer="992" w:gutter="0"/>
              <w:pgNumType w:fmt="decimal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 w:val="22"/>
              <w:szCs w:val="22"/>
            </w:rPr>
            <w:fldChar w:fldCharType="end"/>
          </w:r>
        </w:p>
      </w:sdtContent>
    </w:sdt>
    <w:p/>
    <w:p>
      <w:pPr>
        <w:pStyle w:val="12"/>
        <w:tabs>
          <w:tab w:val="center" w:pos="4153"/>
        </w:tabs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0" w:name="_Toc9662"/>
      <w:r>
        <w:rPr>
          <w:rFonts w:hint="eastAsia" w:ascii="Times New Roman" w:hAnsi="Times New Roman" w:cs="Times New Roman"/>
          <w:lang w:val="en-US" w:eastAsia="zh-CN"/>
        </w:rPr>
        <w:t>系统综述</w:t>
      </w:r>
      <w:bookmarkEnd w:id="0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金华市科技大脑系统，根据省科技厅建设“科技大脑”部署要求，全省“科技大脑”建设按照统一规划、分级建设、共建共享原则，结合金华市实际情况而建设，实现与浙江省政府统建通用的“一窗受理”平台无缝衔接，统一受理、统一反馈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后台管理系统中，用户体系分为市科技局人员账号；县市区科技局管理员、医院、高校等归口单位管理员账号。在后台管理系统中，主要为各类项目的审核工作，如科技项目申报审核、专家评审、项目公示等后台工作，具体功能操作见下文。</w:t>
      </w:r>
    </w:p>
    <w:p>
      <w:pPr>
        <w:pStyle w:val="12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1" w:name="_Toc22521"/>
      <w:r>
        <w:rPr>
          <w:rFonts w:hint="eastAsia" w:ascii="Times New Roman" w:hAnsi="Times New Roman" w:cs="Times New Roman"/>
          <w:lang w:val="en-US" w:eastAsia="zh-CN"/>
        </w:rPr>
        <w:t>登录系统</w:t>
      </w:r>
      <w:bookmarkEnd w:id="1"/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2" w:name="_Toc23569"/>
      <w:r>
        <w:rPr>
          <w:rFonts w:hint="eastAsia" w:ascii="Times New Roman" w:hAnsi="Times New Roman" w:cs="Times New Roman"/>
          <w:lang w:val="en-US" w:eastAsia="zh-CN"/>
        </w:rPr>
        <w:t>系统环境要求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1．电脑系统：win7/win10， 32/64位操作系统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2．浏览器：谷歌浏览器/360浏览器（急速模式）/ IE11及以上浏览器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3．电脑分辨率：1440*900及以上分辨率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4．Office版本：office2007及以上版本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3" w:name="_Toc10079"/>
      <w:r>
        <w:rPr>
          <w:rFonts w:hint="eastAsia" w:ascii="Times New Roman" w:hAnsi="Times New Roman" w:cs="Times New Roman"/>
          <w:lang w:val="en-US" w:eastAsia="zh-CN"/>
        </w:rPr>
        <w:t>登录</w:t>
      </w:r>
      <w:bookmarkEnd w:id="3"/>
    </w:p>
    <w:p>
      <w:pPr>
        <w:spacing w:line="360" w:lineRule="auto"/>
        <w:ind w:firstLine="560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访问地址：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instrText xml:space="preserve"> HYPERLINK "http://kjdn.jinhua.gov.cn/" </w:instrTex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http://kjdn.jinhua.gov.cn/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sys ，页面如下图2-2-1所示。</w:t>
      </w:r>
    </w:p>
    <w:p>
      <w:pPr>
        <w:spacing w:line="360" w:lineRule="auto"/>
      </w:pPr>
      <w:r>
        <w:drawing>
          <wp:inline distT="0" distB="0" distL="114300" distR="114300">
            <wp:extent cx="5258435" cy="2543175"/>
            <wp:effectExtent l="0" t="0" r="18415" b="9525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图2-2-1</w:t>
      </w:r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输入账号密码及验证码，账号一般为所在单位名称，如婺城区科技局、兰溪市科技局，初始密码默认为123456，登录系统后可进行密码修改，如图2-2-2所示。</w:t>
      </w:r>
    </w:p>
    <w:p>
      <w:pPr>
        <w:spacing w:line="360" w:lineRule="auto"/>
      </w:pPr>
      <w:r>
        <w:drawing>
          <wp:inline distT="0" distB="0" distL="114300" distR="114300">
            <wp:extent cx="5264785" cy="2397760"/>
            <wp:effectExtent l="0" t="0" r="12065" b="2540"/>
            <wp:docPr id="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/>
          <w:lang w:val="en-US" w:eastAsia="zh-CN"/>
        </w:rPr>
        <w:t>图2-2-2</w:t>
      </w:r>
    </w:p>
    <w:p>
      <w:pPr>
        <w:pStyle w:val="12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4" w:name="_Toc1767"/>
      <w:r>
        <w:rPr>
          <w:rFonts w:hint="eastAsia" w:ascii="Times New Roman" w:hAnsi="Times New Roman" w:cs="Times New Roman"/>
          <w:lang w:val="en-US" w:eastAsia="zh-CN"/>
        </w:rPr>
        <w:t>首页功能介绍</w:t>
      </w:r>
      <w:bookmarkEnd w:id="4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登录后，页面跳转到首页，如图3-1所示。左侧为功能菜单，通过点击各个菜单，可以打开各功能页面。</w:t>
      </w:r>
    </w:p>
    <w:p>
      <w:pPr>
        <w:spacing w:line="360" w:lineRule="auto"/>
        <w:ind w:firstLine="560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右侧为数据报表：左上角为按月统计的事项柱形图，分别统计了各个月份的办件量；右上角为当月按事项统计的事项数量，汇总当前月份的各类事项的办件量，如百博入企挂职需求1，代表目前12月份受理挂职需求事项1件；左下角为当前账号的待办事项及已办事项，可点击待办事项直接到待办列表进行事项办理；右下角为按县市区统计的事项饼图，以颜色区分各个县区，展示当月各个县市区的办件量情况。</w:t>
      </w:r>
    </w:p>
    <w:p>
      <w:pPr>
        <w:spacing w:line="360" w:lineRule="auto"/>
      </w:pPr>
      <w:r>
        <w:drawing>
          <wp:inline distT="0" distB="0" distL="114300" distR="114300">
            <wp:extent cx="5258435" cy="2441575"/>
            <wp:effectExtent l="0" t="0" r="184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图3-1</w:t>
      </w:r>
    </w:p>
    <w:p>
      <w:pPr>
        <w:pStyle w:val="12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5" w:name="_Toc2916"/>
      <w:r>
        <w:rPr>
          <w:rFonts w:hint="eastAsia" w:ascii="Times New Roman" w:hAnsi="Times New Roman" w:cs="Times New Roman"/>
          <w:lang w:val="en-US" w:eastAsia="zh-CN"/>
        </w:rPr>
        <w:t>企业事项管理</w:t>
      </w:r>
      <w:bookmarkEnd w:id="5"/>
    </w:p>
    <w:p>
      <w:pPr>
        <w:spacing w:line="360" w:lineRule="auto"/>
        <w:ind w:firstLine="560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县市区科技局登录系统处理事项，可以从首页待审核中直接点击进入，也可以从左侧菜单中打开进入，如图4-1所示，待办事项按照业务进行了划分，如项目计划管理中，列表展示了项目计划相关的事项，百博入企管理菜单中，列表展示了百博入企相关的事项。为方便处理，系统同时做了汇总处理，如事项审批汇总菜单中，将所有待办的事项汇总在待审核事项中，将所有已办理的事项汇总在已审核事项中。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1952625" cy="53054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图4-1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6" w:name="_Toc7770"/>
      <w:r>
        <w:rPr>
          <w:rFonts w:hint="eastAsia" w:ascii="Times New Roman" w:hAnsi="Times New Roman" w:cs="Times New Roman"/>
          <w:lang w:val="en-US" w:eastAsia="zh-CN"/>
        </w:rPr>
        <w:t>事项审批汇总</w:t>
      </w:r>
      <w:bookmarkEnd w:id="6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需要当前账号处理的数据显示在待审核事项中；当前账号已经处理过的事项显示在已审核事项中。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待审核事项</w:t>
      </w:r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点击标题进入到事项详情页面，如下图4-1-1所示：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114300" distR="114300">
            <wp:extent cx="5258435" cy="1196340"/>
            <wp:effectExtent l="0" t="0" r="18415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图4-1-1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左侧导航栏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：显示了申请信息、处理意见、流转视图，点击导航可定位到具体的详情页面。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申请信息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：显示了企业（个人）申请的项目信息；如图4-1-1所示，申请信息中包含了项目情况及项目参与方情况。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处理意见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：列表显示了历史审核人填写的审核意见；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流传视图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：以流程图的形式展示了当前事项所需要的审核环节。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保存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：若审核未完成，点击【保存】按钮暂时将本事项审核内容进行保存，此时事项依然处于待审核状态；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提交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：若项目审核无问题，则点击【提交】按钮交于市科技局审核，此时事项处于已审核事项中；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退回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：若项目审核有问题，或者企业未提供完整资料，则填写处理意见后，点击【退回】按钮，此时事项处于退回状态，需要申请企业处理后再提交审核。</w:t>
      </w:r>
    </w:p>
    <w:p>
      <w:pPr>
        <w:spacing w:line="360" w:lineRule="auto"/>
        <w:ind w:firstLine="562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流转历史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：可查看本事项历史审核情况，包括审核时间，审核人，审核意见等。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已审核事项</w:t>
      </w:r>
    </w:p>
    <w:p>
      <w:pPr>
        <w:spacing w:line="360" w:lineRule="auto"/>
        <w:ind w:firstLine="560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列表展示了已经审核过的数据，可按时间段进行查询，可按关键字进行查询，可点击具体事项查看事项审核情况，如图4-1-2所示。</w:t>
      </w:r>
    </w:p>
    <w:p>
      <w:pPr>
        <w:spacing w:line="360" w:lineRule="auto"/>
        <w:ind w:firstLine="420" w:firstLineChars="200"/>
      </w:pPr>
      <w:r>
        <w:drawing>
          <wp:inline distT="0" distB="0" distL="114300" distR="114300">
            <wp:extent cx="5261610" cy="1138555"/>
            <wp:effectExtent l="0" t="0" r="15240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图4-1-2</w:t>
      </w:r>
    </w:p>
    <w:p>
      <w:pPr>
        <w:pStyle w:val="13"/>
        <w:rPr>
          <w:rFonts w:hint="default" w:ascii="Times New Roman" w:hAnsi="Times New Roman" w:cs="Times New Roman"/>
          <w:lang w:val="en-US" w:eastAsia="zh-CN"/>
        </w:rPr>
      </w:pPr>
      <w:bookmarkStart w:id="7" w:name="_Toc10021"/>
      <w:r>
        <w:rPr>
          <w:rFonts w:hint="eastAsia" w:ascii="Times New Roman" w:hAnsi="Times New Roman" w:cs="Times New Roman"/>
          <w:lang w:val="en-US" w:eastAsia="zh-CN"/>
        </w:rPr>
        <w:t>项目计划管理</w:t>
      </w:r>
      <w:bookmarkEnd w:id="7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项目计划管理包含项目立项审核、合同书审核、项目变更审核、以及项目验收审核，如图4-2-1所示。待审核操作，参考事项审批汇总中待审核事项。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1895475" cy="300990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图4-2-1</w:t>
      </w:r>
    </w:p>
    <w:p>
      <w:pPr>
        <w:pStyle w:val="13"/>
        <w:rPr>
          <w:rFonts w:hint="default" w:ascii="Times New Roman" w:hAnsi="Times New Roman" w:cs="Times New Roman"/>
          <w:lang w:val="en-US" w:eastAsia="zh-CN"/>
        </w:rPr>
      </w:pPr>
      <w:bookmarkStart w:id="8" w:name="_Toc7919"/>
      <w:r>
        <w:rPr>
          <w:rFonts w:hint="eastAsia" w:ascii="Times New Roman" w:hAnsi="Times New Roman" w:cs="Times New Roman"/>
          <w:lang w:val="en-US" w:eastAsia="zh-CN"/>
        </w:rPr>
        <w:t>百博入企管理</w:t>
      </w:r>
      <w:bookmarkEnd w:id="8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百博入企审核模块，包含三个事项，人选推荐、挂职需求、终期考核，具体审核操作参考事项审批汇总中待审核事项。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9" w:name="_Toc15231"/>
      <w:r>
        <w:rPr>
          <w:rFonts w:hint="eastAsia" w:ascii="Times New Roman" w:hAnsi="Times New Roman" w:cs="Times New Roman"/>
          <w:lang w:val="en-US" w:eastAsia="zh-CN"/>
        </w:rPr>
        <w:t>众创空间备案</w:t>
      </w:r>
      <w:bookmarkEnd w:id="9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待审核列表中，列表显示了众创空间事项的待审核数据和已审核数据，具体操作参见事项审批汇总中待审核事项。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10" w:name="_Toc27321"/>
      <w:r>
        <w:rPr>
          <w:rFonts w:hint="eastAsia" w:ascii="Times New Roman" w:hAnsi="Times New Roman" w:cs="Times New Roman"/>
          <w:lang w:val="en-US" w:eastAsia="zh-CN"/>
        </w:rPr>
        <w:t>大院名校技术中心绩效考核</w:t>
      </w:r>
      <w:bookmarkEnd w:id="10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待审核列表中，列表显示了大院名校技术中心绩效考核事项的待审核数据，具体操作参见事项审批汇总中待审核事项。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11" w:name="_Toc23612"/>
      <w:r>
        <w:rPr>
          <w:rFonts w:hint="eastAsia" w:ascii="Times New Roman" w:hAnsi="Times New Roman" w:cs="Times New Roman"/>
          <w:lang w:val="en-US" w:eastAsia="zh-CN"/>
        </w:rPr>
        <w:t>产业化专利申报</w:t>
      </w:r>
      <w:bookmarkEnd w:id="11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待审核列表中，列表显示了产业化专利申报事项的待审核数据，具体操作参见事项审批汇总中待审核事项。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12" w:name="_Toc8275"/>
      <w:r>
        <w:rPr>
          <w:rFonts w:hint="eastAsia" w:ascii="Times New Roman" w:hAnsi="Times New Roman" w:cs="Times New Roman"/>
          <w:lang w:val="en-US" w:eastAsia="zh-CN"/>
        </w:rPr>
        <w:t>市科技企业孵化器认定</w:t>
      </w:r>
      <w:bookmarkEnd w:id="12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待审核列表中，列表显示了科技企业孵化器认定事项的待审核数据，具体操作参见事项审批汇总中待审核事项。</w:t>
      </w:r>
    </w:p>
    <w:p>
      <w:pPr>
        <w:pStyle w:val="13"/>
        <w:rPr>
          <w:rFonts w:hint="default" w:ascii="Times New Roman" w:hAnsi="Times New Roman" w:cs="Times New Roman"/>
          <w:lang w:val="en-US" w:eastAsia="zh-CN"/>
        </w:rPr>
      </w:pPr>
      <w:bookmarkStart w:id="13" w:name="_Toc1947"/>
      <w:r>
        <w:rPr>
          <w:rFonts w:hint="eastAsia" w:ascii="Times New Roman" w:hAnsi="Times New Roman" w:cs="Times New Roman"/>
          <w:lang w:val="en-US" w:eastAsia="zh-CN"/>
        </w:rPr>
        <w:t>市高新技术研发中心认定</w:t>
      </w:r>
      <w:bookmarkEnd w:id="13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待审核列表中，列表显示了市高新技术研发中心认定的待审核数据，具体操作参见事项审批汇总中待审核事项。</w:t>
      </w:r>
    </w:p>
    <w:p>
      <w:pPr>
        <w:pStyle w:val="13"/>
        <w:rPr>
          <w:rFonts w:hint="default" w:ascii="Times New Roman" w:hAnsi="Times New Roman" w:cs="Times New Roman"/>
          <w:lang w:val="en-US" w:eastAsia="zh-CN"/>
        </w:rPr>
      </w:pPr>
      <w:bookmarkStart w:id="14" w:name="_Toc32456"/>
      <w:r>
        <w:rPr>
          <w:rFonts w:hint="eastAsia" w:ascii="Times New Roman" w:hAnsi="Times New Roman" w:cs="Times New Roman"/>
          <w:lang w:val="en-US" w:eastAsia="zh-CN"/>
        </w:rPr>
        <w:t>工科会签约项目征集</w:t>
      </w:r>
      <w:bookmarkEnd w:id="14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待审核列表中，列表显示了工科会签约项目征集的待审核数据，具体操作参见事项审批汇总中待审核事项。</w:t>
      </w:r>
    </w:p>
    <w:p>
      <w:pPr>
        <w:pStyle w:val="13"/>
        <w:rPr>
          <w:rFonts w:hint="eastAsia" w:ascii="Times New Roman" w:hAnsi="Times New Roman" w:cs="Times New Roman"/>
          <w:lang w:val="en-US" w:eastAsia="zh-CN"/>
        </w:rPr>
      </w:pPr>
      <w:bookmarkStart w:id="15" w:name="_Toc31521"/>
      <w:r>
        <w:rPr>
          <w:rFonts w:hint="eastAsia" w:ascii="Times New Roman" w:hAnsi="Times New Roman" w:cs="Times New Roman"/>
          <w:lang w:val="en-US" w:eastAsia="zh-CN"/>
        </w:rPr>
        <w:t>企业技术难题和需求征集</w:t>
      </w:r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待审核列表中，列表显示了企业技术难题和需求征集事项的待审核数据，具体操作参见事项审批汇总中待审核事项。</w:t>
      </w:r>
    </w:p>
    <w:p>
      <w:pPr>
        <w:pStyle w:val="13"/>
        <w:rPr>
          <w:rFonts w:hint="default" w:ascii="Times New Roman" w:hAnsi="Times New Roman" w:cs="Times New Roman"/>
          <w:lang w:val="en-US" w:eastAsia="zh-CN"/>
        </w:rPr>
      </w:pPr>
      <w:bookmarkStart w:id="16" w:name="_Toc26024"/>
      <w:r>
        <w:rPr>
          <w:rFonts w:hint="eastAsia" w:ascii="Times New Roman" w:hAnsi="Times New Roman" w:cs="Times New Roman"/>
          <w:lang w:val="en-US" w:eastAsia="zh-CN"/>
        </w:rPr>
        <w:t>市产业创新服务综合体认定</w:t>
      </w:r>
      <w:bookmarkEnd w:id="16"/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待审核列表中，列表显示了市产业创新服务综合体认定的待审核数据，具体操作参见事项审批汇总中待审核事项。</w:t>
      </w:r>
    </w:p>
    <w:p>
      <w:pPr>
        <w:pStyle w:val="12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17" w:name="_Toc14286"/>
      <w:r>
        <w:rPr>
          <w:rFonts w:hint="eastAsia" w:ascii="Times New Roman" w:hAnsi="Times New Roman" w:cs="Times New Roman"/>
          <w:lang w:val="en-US" w:eastAsia="zh-CN"/>
        </w:rPr>
        <w:t>内部事项管理</w:t>
      </w:r>
      <w:bookmarkEnd w:id="17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内部事项管理中，用于处理科技局内部事项，如科技特派员选派，县市区科技局上报科技特派员需求，各高校单位上报特派员情况后，由市科技局会议选定特派员。操作如下图5-1所示。</w:t>
      </w:r>
    </w:p>
    <w:p>
      <w:pPr>
        <w:spacing w:line="360" w:lineRule="auto"/>
      </w:pPr>
      <w:r>
        <w:drawing>
          <wp:inline distT="0" distB="0" distL="114300" distR="114300">
            <wp:extent cx="5269230" cy="2364740"/>
            <wp:effectExtent l="0" t="0" r="7620" b="165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图5-1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申请名称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：本次需求的标题名称；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申请内容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：本次需求的大概申请内容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申请时间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：本次需求申请的时间；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特派员需求资料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：上传特派员需求表</w:t>
      </w:r>
    </w:p>
    <w:p>
      <w:pPr>
        <w:pStyle w:val="12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18" w:name="_Toc15066"/>
      <w:r>
        <w:rPr>
          <w:rFonts w:hint="eastAsia" w:ascii="Times New Roman" w:hAnsi="Times New Roman" w:cs="Times New Roman"/>
          <w:lang w:val="en-US" w:eastAsia="zh-CN"/>
        </w:rPr>
        <w:t>系统管理</w:t>
      </w:r>
      <w:bookmarkEnd w:id="18"/>
    </w:p>
    <w:p>
      <w:pPr>
        <w:spacing w:line="360" w:lineRule="auto"/>
        <w:ind w:firstLine="560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系统相关配置，如个人登录日志、个人信息修改、登录密码修改。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个人日志查看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：列表显示了本账号所登录的IP地址以及登录时间；</w:t>
      </w:r>
    </w:p>
    <w:p>
      <w:pPr>
        <w:spacing w:line="360" w:lineRule="auto"/>
        <w:ind w:firstLine="562" w:firstLineChars="200"/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个人信息修改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：可进行头像上传，可修改电话以及手机号码；</w:t>
      </w:r>
    </w:p>
    <w:p>
      <w:pPr>
        <w:spacing w:line="360" w:lineRule="auto"/>
        <w:ind w:firstLine="562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28"/>
          <w:lang w:val="en-US" w:eastAsia="zh-CN"/>
        </w:rPr>
        <w:t>密码修改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：修改系统登录密码。</w:t>
      </w:r>
    </w:p>
    <w:p>
      <w:pPr>
        <w:spacing w:line="360" w:lineRule="auto"/>
        <w:ind w:firstLine="560" w:firstLineChars="200"/>
        <w:rPr>
          <w:rFonts w:hint="default" w:ascii="Calibri" w:hAnsi="Calibri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 w:eastAsia="zh-CN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320"/>
                              <w:tab w:val="right" w:pos="8640"/>
                              <w:tab w:val="clear" w:pos="4153"/>
                              <w:tab w:val="clear" w:pos="8306"/>
                            </w:tabs>
                            <w:ind w:firstLine="30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instrText xml:space="preserve">PAGE</w:instrTex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instrText xml:space="preserve">NUMPAGES</w:instrTex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317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320"/>
                        <w:tab w:val="right" w:pos="8640"/>
                        <w:tab w:val="clear" w:pos="4153"/>
                        <w:tab w:val="clear" w:pos="8306"/>
                      </w:tabs>
                      <w:ind w:firstLine="3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sz w:val="15"/>
                        <w:szCs w:val="15"/>
                      </w:rPr>
                      <w:instrText xml:space="preserve">PAGE</w:instrText>
                    </w:r>
                    <w:r>
                      <w:rPr>
                        <w:bCs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Cs/>
                        <w:sz w:val="15"/>
                        <w:szCs w:val="15"/>
                      </w:rPr>
                      <w:t>1</w:t>
                    </w:r>
                    <w:r>
                      <w:rPr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  <w:lang w:val="zh-CN"/>
                      </w:rPr>
                      <w:t xml:space="preserve"> / </w:t>
                    </w:r>
                    <w:r>
                      <w:rPr>
                        <w:b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sz w:val="15"/>
                        <w:szCs w:val="15"/>
                      </w:rPr>
                      <w:instrText xml:space="preserve">NUMPAGES</w:instrText>
                    </w:r>
                    <w:r>
                      <w:rPr>
                        <w:bCs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Cs/>
                        <w:sz w:val="15"/>
                        <w:szCs w:val="15"/>
                      </w:rPr>
                      <w:t>317</w:t>
                    </w:r>
                    <w:r>
                      <w:rPr>
                        <w:bCs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5"/>
        <w:szCs w:val="15"/>
      </w:rPr>
      <w:t xml:space="preserve">浙江正联网络科技有限公司                                  操作手册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33F8"/>
    <w:multiLevelType w:val="multilevel"/>
    <w:tmpl w:val="3B0333F8"/>
    <w:lvl w:ilvl="0" w:tentative="0">
      <w:start w:val="1"/>
      <w:numFmt w:val="chineseCountingThousand"/>
      <w:pStyle w:val="12"/>
      <w:suff w:val="nothing"/>
      <w:lvlText w:val="第%1章"/>
      <w:lvlJc w:val="left"/>
      <w:pPr>
        <w:ind w:left="0" w:firstLine="0"/>
      </w:pPr>
    </w:lvl>
    <w:lvl w:ilvl="1" w:tentative="0">
      <w:start w:val="1"/>
      <w:numFmt w:val="decimal"/>
      <w:pStyle w:val="13"/>
      <w:isLgl/>
      <w:suff w:val="nothing"/>
      <w:lvlText w:val="%1.%2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14"/>
      <w:isLgl/>
      <w:suff w:val="nothing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pStyle w:val="15"/>
      <w:isLgl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EB750B6"/>
    <w:multiLevelType w:val="multilevel"/>
    <w:tmpl w:val="5EB750B6"/>
    <w:lvl w:ilvl="0" w:tentative="0">
      <w:start w:val="1"/>
      <w:numFmt w:val="decimal"/>
      <w:pStyle w:val="16"/>
      <w:lvlText w:val="图%1-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图%1-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0439"/>
    <w:rsid w:val="007A190D"/>
    <w:rsid w:val="008915A0"/>
    <w:rsid w:val="010F1036"/>
    <w:rsid w:val="01514DBC"/>
    <w:rsid w:val="01694951"/>
    <w:rsid w:val="029A22DB"/>
    <w:rsid w:val="02F03497"/>
    <w:rsid w:val="03ED6CD3"/>
    <w:rsid w:val="0430232E"/>
    <w:rsid w:val="04FA567F"/>
    <w:rsid w:val="05AE0EED"/>
    <w:rsid w:val="05FE2739"/>
    <w:rsid w:val="06086569"/>
    <w:rsid w:val="07072758"/>
    <w:rsid w:val="07880795"/>
    <w:rsid w:val="086F2754"/>
    <w:rsid w:val="0A250845"/>
    <w:rsid w:val="0A4E1221"/>
    <w:rsid w:val="0B9143F7"/>
    <w:rsid w:val="0BA65936"/>
    <w:rsid w:val="0C500DC2"/>
    <w:rsid w:val="0D526232"/>
    <w:rsid w:val="0D831C60"/>
    <w:rsid w:val="0DF86420"/>
    <w:rsid w:val="0ED96A2B"/>
    <w:rsid w:val="0EF86997"/>
    <w:rsid w:val="10E1337B"/>
    <w:rsid w:val="113C1481"/>
    <w:rsid w:val="11AB1B0F"/>
    <w:rsid w:val="123B0B84"/>
    <w:rsid w:val="12C504A1"/>
    <w:rsid w:val="12D24ADB"/>
    <w:rsid w:val="12E140F5"/>
    <w:rsid w:val="13136906"/>
    <w:rsid w:val="14FD0C6B"/>
    <w:rsid w:val="17447107"/>
    <w:rsid w:val="178D1ECF"/>
    <w:rsid w:val="18287696"/>
    <w:rsid w:val="185866F2"/>
    <w:rsid w:val="18F64890"/>
    <w:rsid w:val="18FD39C7"/>
    <w:rsid w:val="19E263EC"/>
    <w:rsid w:val="1A9F3CC6"/>
    <w:rsid w:val="1AFF1223"/>
    <w:rsid w:val="1D601191"/>
    <w:rsid w:val="1EE033CA"/>
    <w:rsid w:val="2037438A"/>
    <w:rsid w:val="21231421"/>
    <w:rsid w:val="215B3A75"/>
    <w:rsid w:val="215D53B0"/>
    <w:rsid w:val="21BE50B5"/>
    <w:rsid w:val="235E218D"/>
    <w:rsid w:val="23656BCE"/>
    <w:rsid w:val="239A000B"/>
    <w:rsid w:val="25595AF7"/>
    <w:rsid w:val="256B48DF"/>
    <w:rsid w:val="25A3251F"/>
    <w:rsid w:val="25D85753"/>
    <w:rsid w:val="26C36E57"/>
    <w:rsid w:val="26DD07B2"/>
    <w:rsid w:val="28076FC8"/>
    <w:rsid w:val="28CA48D2"/>
    <w:rsid w:val="28CB58C8"/>
    <w:rsid w:val="28F77BE0"/>
    <w:rsid w:val="2AAD73D7"/>
    <w:rsid w:val="2B68417D"/>
    <w:rsid w:val="2BB4413A"/>
    <w:rsid w:val="2BE870FC"/>
    <w:rsid w:val="2D457E63"/>
    <w:rsid w:val="2DA839CB"/>
    <w:rsid w:val="2EBB00A7"/>
    <w:rsid w:val="2F382BCA"/>
    <w:rsid w:val="2F4C1D52"/>
    <w:rsid w:val="30A30A21"/>
    <w:rsid w:val="31D12B95"/>
    <w:rsid w:val="32020861"/>
    <w:rsid w:val="332204C7"/>
    <w:rsid w:val="338F3E53"/>
    <w:rsid w:val="34026F8D"/>
    <w:rsid w:val="343215EF"/>
    <w:rsid w:val="349532D3"/>
    <w:rsid w:val="34FF18ED"/>
    <w:rsid w:val="35A82D56"/>
    <w:rsid w:val="363069DD"/>
    <w:rsid w:val="3634358D"/>
    <w:rsid w:val="36943472"/>
    <w:rsid w:val="36AF4AB9"/>
    <w:rsid w:val="37BB43B7"/>
    <w:rsid w:val="37F87C9D"/>
    <w:rsid w:val="38EA5B35"/>
    <w:rsid w:val="3966173B"/>
    <w:rsid w:val="39E24AB1"/>
    <w:rsid w:val="3A5B0A2A"/>
    <w:rsid w:val="3ADA65B1"/>
    <w:rsid w:val="3B386FF2"/>
    <w:rsid w:val="3B9D4DC7"/>
    <w:rsid w:val="3C4176A0"/>
    <w:rsid w:val="3CEC163E"/>
    <w:rsid w:val="3D367C0F"/>
    <w:rsid w:val="3D9910B9"/>
    <w:rsid w:val="3DA45DB1"/>
    <w:rsid w:val="3DD32246"/>
    <w:rsid w:val="3E215797"/>
    <w:rsid w:val="3ED74E53"/>
    <w:rsid w:val="3EF1537D"/>
    <w:rsid w:val="3F7F6035"/>
    <w:rsid w:val="405C577E"/>
    <w:rsid w:val="406B5073"/>
    <w:rsid w:val="40FC22B9"/>
    <w:rsid w:val="410F3179"/>
    <w:rsid w:val="41101CF8"/>
    <w:rsid w:val="420E7900"/>
    <w:rsid w:val="423213C2"/>
    <w:rsid w:val="42E54B42"/>
    <w:rsid w:val="43703B13"/>
    <w:rsid w:val="43E91700"/>
    <w:rsid w:val="449E45FC"/>
    <w:rsid w:val="44AF05BA"/>
    <w:rsid w:val="44C55D19"/>
    <w:rsid w:val="44DF315B"/>
    <w:rsid w:val="4597036E"/>
    <w:rsid w:val="467A44B0"/>
    <w:rsid w:val="46DD5804"/>
    <w:rsid w:val="479A19F2"/>
    <w:rsid w:val="481B5CC6"/>
    <w:rsid w:val="48A342A3"/>
    <w:rsid w:val="490E43D5"/>
    <w:rsid w:val="499E6047"/>
    <w:rsid w:val="4A3E4A24"/>
    <w:rsid w:val="4A59208E"/>
    <w:rsid w:val="4D124C0A"/>
    <w:rsid w:val="4D2A3D35"/>
    <w:rsid w:val="4E5D0188"/>
    <w:rsid w:val="4E82411A"/>
    <w:rsid w:val="4F3E125D"/>
    <w:rsid w:val="508F26F7"/>
    <w:rsid w:val="50E727BA"/>
    <w:rsid w:val="50FD0E88"/>
    <w:rsid w:val="512D2620"/>
    <w:rsid w:val="51B0496D"/>
    <w:rsid w:val="52134D58"/>
    <w:rsid w:val="52D5130D"/>
    <w:rsid w:val="52E54A78"/>
    <w:rsid w:val="5394262B"/>
    <w:rsid w:val="53D36679"/>
    <w:rsid w:val="551F03DD"/>
    <w:rsid w:val="55E97F00"/>
    <w:rsid w:val="55F13B9B"/>
    <w:rsid w:val="56087B28"/>
    <w:rsid w:val="56133C2E"/>
    <w:rsid w:val="578B78C2"/>
    <w:rsid w:val="58247FA4"/>
    <w:rsid w:val="58EC2A15"/>
    <w:rsid w:val="59460475"/>
    <w:rsid w:val="597E5819"/>
    <w:rsid w:val="59C527FF"/>
    <w:rsid w:val="5A586349"/>
    <w:rsid w:val="5A722D6B"/>
    <w:rsid w:val="5B740F45"/>
    <w:rsid w:val="5BC954D7"/>
    <w:rsid w:val="5CDF1232"/>
    <w:rsid w:val="5E150291"/>
    <w:rsid w:val="5EA83514"/>
    <w:rsid w:val="5F53264A"/>
    <w:rsid w:val="5F690B34"/>
    <w:rsid w:val="5FDD317D"/>
    <w:rsid w:val="5FF1247B"/>
    <w:rsid w:val="602A08CC"/>
    <w:rsid w:val="6095568D"/>
    <w:rsid w:val="61803C22"/>
    <w:rsid w:val="619A7437"/>
    <w:rsid w:val="619D0F8E"/>
    <w:rsid w:val="63102408"/>
    <w:rsid w:val="632005E5"/>
    <w:rsid w:val="63333BE1"/>
    <w:rsid w:val="636A58C8"/>
    <w:rsid w:val="6391221B"/>
    <w:rsid w:val="64E12CE7"/>
    <w:rsid w:val="652E164A"/>
    <w:rsid w:val="66D7385A"/>
    <w:rsid w:val="67951906"/>
    <w:rsid w:val="689E2301"/>
    <w:rsid w:val="69133A00"/>
    <w:rsid w:val="69291C22"/>
    <w:rsid w:val="69CD09E1"/>
    <w:rsid w:val="69E2378F"/>
    <w:rsid w:val="6A6E4475"/>
    <w:rsid w:val="6ABF3A2D"/>
    <w:rsid w:val="6C2744CE"/>
    <w:rsid w:val="6DA962CD"/>
    <w:rsid w:val="6DAA78B4"/>
    <w:rsid w:val="6DE91FD5"/>
    <w:rsid w:val="6E863566"/>
    <w:rsid w:val="6E921CA5"/>
    <w:rsid w:val="6E9E553B"/>
    <w:rsid w:val="6EFC3B62"/>
    <w:rsid w:val="6F881DB7"/>
    <w:rsid w:val="70213025"/>
    <w:rsid w:val="703B10D3"/>
    <w:rsid w:val="705B113F"/>
    <w:rsid w:val="70E6445E"/>
    <w:rsid w:val="71691ABD"/>
    <w:rsid w:val="71E13868"/>
    <w:rsid w:val="720B7764"/>
    <w:rsid w:val="724D66E6"/>
    <w:rsid w:val="72761AC2"/>
    <w:rsid w:val="73265C0A"/>
    <w:rsid w:val="734751E1"/>
    <w:rsid w:val="737303F1"/>
    <w:rsid w:val="73E1473C"/>
    <w:rsid w:val="74860E0D"/>
    <w:rsid w:val="75AF03CC"/>
    <w:rsid w:val="764674BA"/>
    <w:rsid w:val="769449A3"/>
    <w:rsid w:val="76F51EDF"/>
    <w:rsid w:val="76FA656C"/>
    <w:rsid w:val="7720770E"/>
    <w:rsid w:val="77AA5282"/>
    <w:rsid w:val="77D75A4F"/>
    <w:rsid w:val="780C7D04"/>
    <w:rsid w:val="7985649A"/>
    <w:rsid w:val="7A323052"/>
    <w:rsid w:val="7A8A4E96"/>
    <w:rsid w:val="7A8C606A"/>
    <w:rsid w:val="7AB153B9"/>
    <w:rsid w:val="7C0332C9"/>
    <w:rsid w:val="7C277180"/>
    <w:rsid w:val="7C8A5508"/>
    <w:rsid w:val="7CA1428E"/>
    <w:rsid w:val="7D210908"/>
    <w:rsid w:val="7E025052"/>
    <w:rsid w:val="7E5F5B8D"/>
    <w:rsid w:val="7EEE7DBC"/>
    <w:rsid w:val="7F02137E"/>
    <w:rsid w:val="7F280583"/>
    <w:rsid w:val="7FDB1109"/>
    <w:rsid w:val="7FE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uiPriority w:val="0"/>
    <w:pPr>
      <w:ind w:left="420" w:left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一级标题"/>
    <w:basedOn w:val="1"/>
    <w:qFormat/>
    <w:uiPriority w:val="0"/>
    <w:pPr>
      <w:numPr>
        <w:ilvl w:val="0"/>
        <w:numId w:val="1"/>
      </w:numPr>
      <w:spacing w:line="560" w:lineRule="exact"/>
      <w:jc w:val="center"/>
      <w:outlineLvl w:val="0"/>
    </w:pPr>
    <w:rPr>
      <w:rFonts w:eastAsia="方正小标宋简体"/>
      <w:sz w:val="44"/>
      <w:szCs w:val="44"/>
    </w:rPr>
  </w:style>
  <w:style w:type="paragraph" w:customStyle="1" w:styleId="13">
    <w:name w:val="*二级标题"/>
    <w:basedOn w:val="3"/>
    <w:qFormat/>
    <w:uiPriority w:val="0"/>
    <w:pPr>
      <w:numPr>
        <w:ilvl w:val="1"/>
        <w:numId w:val="1"/>
      </w:numPr>
    </w:pPr>
    <w:rPr>
      <w:b w:val="0"/>
    </w:rPr>
  </w:style>
  <w:style w:type="paragraph" w:customStyle="1" w:styleId="14">
    <w:name w:val="*三级标题"/>
    <w:basedOn w:val="4"/>
    <w:qFormat/>
    <w:uiPriority w:val="0"/>
    <w:pPr>
      <w:numPr>
        <w:ilvl w:val="2"/>
        <w:numId w:val="1"/>
      </w:numPr>
    </w:pPr>
    <w:rPr>
      <w:rFonts w:eastAsia="黑体"/>
      <w:b w:val="0"/>
    </w:rPr>
  </w:style>
  <w:style w:type="paragraph" w:customStyle="1" w:styleId="15">
    <w:name w:val="四级标题"/>
    <w:basedOn w:val="1"/>
    <w:qFormat/>
    <w:uiPriority w:val="0"/>
    <w:pPr>
      <w:numPr>
        <w:ilvl w:val="3"/>
        <w:numId w:val="1"/>
      </w:numPr>
      <w:outlineLvl w:val="3"/>
    </w:pPr>
    <w:rPr>
      <w:rFonts w:ascii="Arial" w:hAnsi="Arial" w:eastAsia="黑体"/>
      <w:bCs/>
      <w:sz w:val="32"/>
      <w:szCs w:val="32"/>
    </w:rPr>
  </w:style>
  <w:style w:type="paragraph" w:customStyle="1" w:styleId="16">
    <w:name w:val="*图表编号"/>
    <w:basedOn w:val="1"/>
    <w:qFormat/>
    <w:uiPriority w:val="0"/>
    <w:pPr>
      <w:numPr>
        <w:ilvl w:val="0"/>
        <w:numId w:val="2"/>
      </w:numPr>
      <w:spacing w:after="156" w:afterLines="50"/>
      <w:jc w:val="center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2020-11-06T03:19:00Z</dcterms:created>
  <dc:creator>Administrator</dc:creator>
  <cp:lastModifiedBy>william</cp:lastModifiedBy>
  <dcterms:modified xsi:type="dcterms:W3CDTF">2020-12-10T11:57:36Z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