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9" w:lineRule="exact"/>
        <w:jc w:val="left"/>
        <w:rPr>
          <w:rFonts w:ascii="黑体" w:hAnsi="黑体" w:eastAsia="黑体" w:cs="黑体"/>
          <w:sz w:val="32"/>
          <w:szCs w:val="32"/>
        </w:rPr>
      </w:pPr>
      <w:r>
        <w:rPr>
          <w:rFonts w:hint="eastAsia" w:ascii="黑体" w:hAnsi="黑体" w:eastAsia="黑体" w:cs="黑体"/>
          <w:sz w:val="32"/>
          <w:szCs w:val="32"/>
        </w:rPr>
        <w:t>附件3</w:t>
      </w:r>
    </w:p>
    <w:p>
      <w:pPr>
        <w:spacing w:line="540" w:lineRule="exact"/>
        <w:jc w:val="center"/>
        <w:rPr>
          <w:rFonts w:eastAsia="方正小标宋简体"/>
          <w:sz w:val="36"/>
          <w:szCs w:val="36"/>
        </w:rPr>
      </w:pPr>
      <w:r>
        <w:rPr>
          <w:rFonts w:hint="eastAsia" w:eastAsia="方正小标宋简体"/>
          <w:sz w:val="36"/>
          <w:szCs w:val="36"/>
        </w:rPr>
        <w:t>重大行政执法决定法制审核事项清单及标准</w:t>
      </w:r>
    </w:p>
    <w:p>
      <w:pPr>
        <w:spacing w:line="300" w:lineRule="exact"/>
        <w:jc w:val="center"/>
        <w:rPr>
          <w:rFonts w:ascii="方正小标宋简体" w:hAnsi="黑体" w:eastAsia="方正小标宋简体" w:cs="仿宋"/>
          <w:w w:val="90"/>
          <w:sz w:val="36"/>
          <w:szCs w:val="36"/>
        </w:rPr>
      </w:pPr>
    </w:p>
    <w:tbl>
      <w:tblPr>
        <w:tblStyle w:val="4"/>
        <w:tblW w:w="9771" w:type="dxa"/>
        <w:jc w:val="center"/>
        <w:tblLayout w:type="autofit"/>
        <w:tblCellMar>
          <w:top w:w="15" w:type="dxa"/>
          <w:left w:w="15" w:type="dxa"/>
          <w:bottom w:w="15" w:type="dxa"/>
          <w:right w:w="15" w:type="dxa"/>
        </w:tblCellMar>
      </w:tblPr>
      <w:tblGrid>
        <w:gridCol w:w="532"/>
        <w:gridCol w:w="602"/>
        <w:gridCol w:w="1843"/>
        <w:gridCol w:w="4678"/>
        <w:gridCol w:w="2116"/>
      </w:tblGrid>
      <w:tr>
        <w:tblPrEx>
          <w:tblCellMar>
            <w:top w:w="15" w:type="dxa"/>
            <w:left w:w="15" w:type="dxa"/>
            <w:bottom w:w="15" w:type="dxa"/>
            <w:right w:w="15" w:type="dxa"/>
          </w:tblCellMar>
        </w:tblPrEx>
        <w:trPr>
          <w:jc w:val="center"/>
        </w:trPr>
        <w:tc>
          <w:tcPr>
            <w:tcW w:w="532"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spacing w:line="240" w:lineRule="exact"/>
              <w:jc w:val="center"/>
              <w:rPr>
                <w:rFonts w:ascii="等线" w:hAnsi="等线"/>
                <w:b/>
                <w:szCs w:val="21"/>
              </w:rPr>
            </w:pPr>
            <w:r>
              <w:rPr>
                <w:rFonts w:hint="eastAsia" w:ascii="等线" w:hAnsi="等线"/>
                <w:b/>
                <w:szCs w:val="21"/>
              </w:rPr>
              <w:t>序号</w:t>
            </w:r>
          </w:p>
        </w:tc>
        <w:tc>
          <w:tcPr>
            <w:tcW w:w="602" w:type="dxa"/>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spacing w:line="240" w:lineRule="exact"/>
              <w:jc w:val="center"/>
              <w:rPr>
                <w:rFonts w:ascii="等线" w:hAnsi="等线"/>
                <w:b/>
                <w:szCs w:val="21"/>
              </w:rPr>
            </w:pPr>
            <w:r>
              <w:rPr>
                <w:rFonts w:hint="eastAsia" w:ascii="等线" w:hAnsi="等线"/>
                <w:b/>
                <w:szCs w:val="21"/>
              </w:rPr>
              <w:t>权力类别</w:t>
            </w:r>
          </w:p>
        </w:tc>
        <w:tc>
          <w:tcPr>
            <w:tcW w:w="1843" w:type="dxa"/>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spacing w:line="240" w:lineRule="exact"/>
              <w:jc w:val="center"/>
              <w:rPr>
                <w:rFonts w:ascii="等线" w:hAnsi="等线"/>
                <w:b/>
                <w:szCs w:val="21"/>
              </w:rPr>
            </w:pPr>
            <w:r>
              <w:rPr>
                <w:rFonts w:hint="eastAsia" w:ascii="等线" w:hAnsi="等线"/>
                <w:b/>
                <w:szCs w:val="21"/>
              </w:rPr>
              <w:t>重大行政执法决定法制审核事项名称</w:t>
            </w:r>
          </w:p>
        </w:tc>
        <w:tc>
          <w:tcPr>
            <w:tcW w:w="4678" w:type="dxa"/>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spacing w:line="240" w:lineRule="exact"/>
              <w:jc w:val="center"/>
              <w:rPr>
                <w:rFonts w:ascii="等线" w:hAnsi="等线"/>
                <w:b/>
                <w:szCs w:val="21"/>
              </w:rPr>
            </w:pPr>
            <w:r>
              <w:rPr>
                <w:rFonts w:ascii="等线" w:hAnsi="等线"/>
                <w:b/>
                <w:szCs w:val="21"/>
              </w:rPr>
              <w:t>执法依据</w:t>
            </w:r>
          </w:p>
        </w:tc>
        <w:tc>
          <w:tcPr>
            <w:tcW w:w="2116" w:type="dxa"/>
            <w:tcBorders>
              <w:top w:val="single" w:color="auto" w:sz="8" w:space="0"/>
              <w:left w:val="nil"/>
              <w:bottom w:val="single" w:color="auto" w:sz="8" w:space="0"/>
              <w:right w:val="single" w:color="auto" w:sz="8" w:space="0"/>
            </w:tcBorders>
            <w:noWrap w:val="0"/>
            <w:vAlign w:val="center"/>
          </w:tcPr>
          <w:p>
            <w:pPr>
              <w:spacing w:line="240" w:lineRule="exact"/>
              <w:jc w:val="center"/>
              <w:rPr>
                <w:rFonts w:ascii="等线" w:hAnsi="等线"/>
                <w:b/>
                <w:szCs w:val="21"/>
              </w:rPr>
            </w:pPr>
            <w:r>
              <w:rPr>
                <w:rFonts w:hint="eastAsia" w:ascii="等线" w:hAnsi="等线"/>
                <w:b/>
                <w:szCs w:val="21"/>
              </w:rPr>
              <w:t>重大行政执法决定法制审核标准</w:t>
            </w:r>
          </w:p>
        </w:tc>
      </w:tr>
      <w:tr>
        <w:tblPrEx>
          <w:tblCellMar>
            <w:top w:w="15" w:type="dxa"/>
            <w:left w:w="15" w:type="dxa"/>
            <w:bottom w:w="15" w:type="dxa"/>
            <w:right w:w="15" w:type="dxa"/>
          </w:tblCellMar>
        </w:tblPrEx>
        <w:trPr>
          <w:jc w:val="center"/>
        </w:trPr>
        <w:tc>
          <w:tcPr>
            <w:tcW w:w="532"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spacing w:line="240" w:lineRule="exact"/>
              <w:jc w:val="center"/>
              <w:rPr>
                <w:rFonts w:ascii="等线" w:hAnsi="等线"/>
                <w:szCs w:val="21"/>
              </w:rPr>
            </w:pPr>
            <w:r>
              <w:rPr>
                <w:rFonts w:hint="eastAsia" w:ascii="等线" w:hAnsi="等线"/>
                <w:szCs w:val="21"/>
              </w:rPr>
              <w:t>1</w:t>
            </w:r>
          </w:p>
        </w:tc>
        <w:tc>
          <w:tcPr>
            <w:tcW w:w="602" w:type="dxa"/>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spacing w:line="240" w:lineRule="exact"/>
              <w:jc w:val="center"/>
              <w:rPr>
                <w:rFonts w:ascii="等线" w:hAnsi="等线"/>
                <w:szCs w:val="21"/>
              </w:rPr>
            </w:pPr>
            <w:r>
              <w:rPr>
                <w:rFonts w:hint="eastAsia" w:ascii="等线" w:hAnsi="等线"/>
                <w:szCs w:val="21"/>
              </w:rPr>
              <w:t>行政许可</w:t>
            </w:r>
          </w:p>
        </w:tc>
        <w:tc>
          <w:tcPr>
            <w:tcW w:w="1843" w:type="dxa"/>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spacing w:line="240" w:lineRule="exact"/>
              <w:rPr>
                <w:rFonts w:ascii="等线" w:hAnsi="等线"/>
                <w:szCs w:val="21"/>
              </w:rPr>
            </w:pPr>
            <w:r>
              <w:rPr>
                <w:rFonts w:hint="eastAsia" w:ascii="等线" w:hAnsi="等线"/>
                <w:szCs w:val="21"/>
              </w:rPr>
              <w:t>外国人来华工作许可</w:t>
            </w:r>
          </w:p>
        </w:tc>
        <w:tc>
          <w:tcPr>
            <w:tcW w:w="4678" w:type="dxa"/>
            <w:tcBorders>
              <w:top w:val="single" w:color="auto" w:sz="4" w:space="0"/>
              <w:left w:val="nil"/>
              <w:bottom w:val="single" w:color="auto" w:sz="4" w:space="0"/>
              <w:right w:val="single" w:color="auto" w:sz="8" w:space="0"/>
            </w:tcBorders>
            <w:shd w:val="clear" w:color="auto" w:fill="auto"/>
            <w:noWrap w:val="0"/>
            <w:tcMar>
              <w:top w:w="0" w:type="dxa"/>
              <w:left w:w="0" w:type="dxa"/>
              <w:bottom w:w="0" w:type="dxa"/>
              <w:right w:w="0" w:type="dxa"/>
            </w:tcMar>
            <w:vAlign w:val="center"/>
          </w:tcPr>
          <w:p>
            <w:pPr>
              <w:spacing w:line="240" w:lineRule="exact"/>
              <w:rPr>
                <w:rFonts w:ascii="等线" w:hAnsi="等线"/>
                <w:szCs w:val="21"/>
              </w:rPr>
            </w:pPr>
            <w:r>
              <w:rPr>
                <w:rFonts w:hint="eastAsia" w:ascii="等线" w:hAnsi="等线"/>
                <w:szCs w:val="21"/>
              </w:rPr>
              <w:t>1.《中华人民共和国出境入境管理法》第四十一条：“外国人在中国境内工作，应当按照规定取得工作许可和工作类居留证件。任何单位和个人不得聘用未取得工作许可和工作类居留证件的外国人”。</w:t>
            </w:r>
          </w:p>
          <w:p>
            <w:pPr>
              <w:spacing w:line="240" w:lineRule="exact"/>
              <w:rPr>
                <w:rFonts w:ascii="等线" w:hAnsi="等线"/>
                <w:szCs w:val="21"/>
              </w:rPr>
            </w:pPr>
            <w:r>
              <w:rPr>
                <w:rFonts w:hint="eastAsia" w:ascii="等线" w:hAnsi="等线"/>
                <w:szCs w:val="21"/>
              </w:rPr>
              <w:t>2.《国务院对确需保留的行政审批项目设定行政许可的决定》（国务院令第412号）第93项：外国人入境就业许可；第443项：外国专家来华工作许可。</w:t>
            </w:r>
            <w:r>
              <w:rPr>
                <w:rFonts w:hint="eastAsia" w:ascii="等线" w:hAnsi="等线"/>
                <w:szCs w:val="21"/>
              </w:rPr>
              <w:br w:type="textWrapping"/>
            </w:r>
            <w:r>
              <w:rPr>
                <w:rFonts w:hint="eastAsia" w:ascii="等线" w:hAnsi="等线"/>
                <w:szCs w:val="21"/>
              </w:rPr>
              <w:t>3.国务院审改办《关于整合外国人来华工作许可事项意见的函》（审改办函〔2015〕95号）：将人力资源社会保障部负责的“外国人入境就业许可”和外专局实施的“外国专家来华工作许可”整合为“外国人来华工作许可”。外专局负责具体实施“外国人来华工作许可”。</w:t>
            </w:r>
          </w:p>
        </w:tc>
        <w:tc>
          <w:tcPr>
            <w:tcW w:w="2116" w:type="dxa"/>
            <w:tcBorders>
              <w:top w:val="single" w:color="auto" w:sz="4" w:space="0"/>
              <w:left w:val="nil"/>
              <w:bottom w:val="single" w:color="auto" w:sz="4" w:space="0"/>
              <w:right w:val="single" w:color="auto" w:sz="8" w:space="0"/>
            </w:tcBorders>
            <w:noWrap w:val="0"/>
            <w:vAlign w:val="center"/>
          </w:tcPr>
          <w:p>
            <w:pPr>
              <w:spacing w:line="240" w:lineRule="exact"/>
              <w:rPr>
                <w:rFonts w:ascii="等线" w:hAnsi="等线"/>
                <w:szCs w:val="21"/>
              </w:rPr>
            </w:pPr>
            <w:r>
              <w:rPr>
                <w:rFonts w:hint="eastAsia" w:ascii="等线" w:hAnsi="等线"/>
                <w:szCs w:val="21"/>
              </w:rPr>
              <w:t>涉及重大国家利益和公共利益、案件情况复杂或者社会影响较大、需经听证程序作出决定的，或法律、法规、规章以及国家和省级行政规范性文件规定，应当进行法制审核的其他行政许可决定事项。</w:t>
            </w:r>
          </w:p>
        </w:tc>
      </w:tr>
    </w:tbl>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53C47"/>
    <w:rsid w:val="5FF53C47"/>
    <w:rsid w:val="6C872B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2020-10-13T07:19:00Z</dcterms:created>
  <dc:creator>老贝</dc:creator>
  <cp:lastModifiedBy>老贝</cp:lastModifiedBy>
  <dcterms:modified xsi:type="dcterms:W3CDTF">2020-10-13T07:20:04Z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